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2954D4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2954D4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2954D4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2954D4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D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e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cember 8/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9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</w:p>
    <w:p w:rsidR="00880316" w:rsidRPr="002954D4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2954D4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 xml:space="preserve"> 25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24CFC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2954D4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2954D4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2954D4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D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e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 xml:space="preserve">cember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Dec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9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25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24CFC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9A23FA" w:rsidRPr="009A23FA" w:rsidRDefault="009A23FA" w:rsidP="009A23FA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the increase the credit facility limit by RON 70 million, namely from RON 350 million to RON 420 million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9A23FA" w:rsidRPr="009A23FA" w:rsidRDefault="009A23FA" w:rsidP="009A23F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9A23FA" w:rsidRPr="009A23FA" w:rsidRDefault="009A23FA" w:rsidP="009A23FA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Approves the extension by 1 year the credit facility contract no. 201812070225 concluded with Banca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Comercială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Română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 for issuing security instruments as bank guarantee letters and irrevocable standby letters of credit to the limit of RON 420 million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9A23FA" w:rsidRPr="009A23FA" w:rsidRDefault="009A23FA" w:rsidP="009A23F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9A23FA" w:rsidRPr="009A23FA" w:rsidRDefault="009A23FA" w:rsidP="009A23FA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the issue the bank guarantee letter in amount of EUR 89,228.00, with no. G506327/890, as subsequently amended, at the Lender’s (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) order, in favour of the beneficiary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Floreasca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Business Park for securing the rent payment obligation for the building where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Black Sea Limited will perform its activities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9A23FA" w:rsidRPr="009A23FA" w:rsidRDefault="009A23FA" w:rsidP="009A23F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4 on the agenda: </w:t>
      </w:r>
    </w:p>
    <w:p w:rsidR="009A23FA" w:rsidRPr="009A23FA" w:rsidRDefault="009A23FA" w:rsidP="009A23FA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Authorizes Mr. Razvan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Popescu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, as Chief Executive Officer, and Mr. Andrei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Bobar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, as Chief Financial Officer, to sign the addendum to the credit facility contract no. 201812070225 related to year 2023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9A23FA" w:rsidRPr="009A23FA" w:rsidRDefault="009A23FA" w:rsidP="009A23F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5 on the agenda: </w:t>
      </w:r>
    </w:p>
    <w:p w:rsidR="009A23FA" w:rsidRPr="009A23FA" w:rsidRDefault="009A23FA" w:rsidP="009A23FA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Authorizes the persons with signature right, type I and II at Banca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Comercială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Română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to sign the applications for issuing and amending security instruments (SGB, SBLC) related to the facility granted by Banca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Comercială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>Română</w:t>
      </w:r>
      <w:proofErr w:type="spellEnd"/>
      <w:r w:rsidRPr="009A23FA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S.A., as well as any other documents related to the credit contract, regardless of their form, including, without limitation to addenda, applications for draw-down/issuing/amending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9A23FA" w:rsidRPr="009A23FA" w:rsidRDefault="009A23FA" w:rsidP="009A23F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A23FA" w:rsidRPr="009A23FA" w:rsidRDefault="009A23FA" w:rsidP="009A23FA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The draft Resolution for item 6 on the agenda:</w:t>
      </w:r>
    </w:p>
    <w:p w:rsidR="009A23FA" w:rsidRPr="009A23FA" w:rsidRDefault="009A23FA" w:rsidP="009A23FA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9A23FA">
        <w:rPr>
          <w:rFonts w:ascii="Arial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9A23FA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9A23FA" w:rsidRPr="009A23FA" w:rsidRDefault="009A23FA" w:rsidP="009A23FA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A23FA" w:rsidRPr="009A23FA" w:rsidRDefault="009A23FA" w:rsidP="009A23FA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9A23FA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lastRenderedPageBreak/>
        <w:t>This special power of attorney:</w:t>
      </w: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D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e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ce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9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D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e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ce</w:t>
      </w:r>
      <w:r w:rsidR="00855C94">
        <w:rPr>
          <w:rFonts w:ascii="Arial" w:hAnsi="Arial" w:cs="Arial"/>
          <w:b/>
          <w:noProof/>
          <w:sz w:val="22"/>
          <w:szCs w:val="22"/>
          <w:lang w:val="en-GB"/>
        </w:rPr>
        <w:t xml:space="preserve">mber </w:t>
      </w:r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D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e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ce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bookmarkStart w:id="0" w:name="_GoBack"/>
      <w:bookmarkEnd w:id="0"/>
      <w:r w:rsidR="008945B9">
        <w:rPr>
          <w:rFonts w:ascii="Arial" w:hAnsi="Arial" w:cs="Arial"/>
          <w:b/>
          <w:noProof/>
          <w:sz w:val="22"/>
          <w:szCs w:val="22"/>
          <w:lang w:val="en-GB"/>
        </w:rPr>
        <w:t>6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>,</w:t>
      </w:r>
      <w:r w:rsidR="0035545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0A00FB" w:rsidRPr="008945B9" w:rsidRDefault="00D14478" w:rsidP="000A00F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2954D4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Pr="002954D4" w:rsidRDefault="006832A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ab/>
        <w:t>[____________]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2954D4" w:rsidSect="00124CFC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9F" w:rsidRDefault="00B41A9F">
      <w:r>
        <w:separator/>
      </w:r>
    </w:p>
  </w:endnote>
  <w:endnote w:type="continuationSeparator" w:id="0">
    <w:p w:rsidR="00B41A9F" w:rsidRDefault="00B4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B41A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5C94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B41A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9F" w:rsidRDefault="00B41A9F">
      <w:r>
        <w:separator/>
      </w:r>
    </w:p>
  </w:footnote>
  <w:footnote w:type="continuationSeparator" w:id="0">
    <w:p w:rsidR="00B41A9F" w:rsidRDefault="00B4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60EC1"/>
    <w:rsid w:val="00071081"/>
    <w:rsid w:val="00072801"/>
    <w:rsid w:val="000A00FB"/>
    <w:rsid w:val="000C699F"/>
    <w:rsid w:val="000C7411"/>
    <w:rsid w:val="00124CFC"/>
    <w:rsid w:val="00172746"/>
    <w:rsid w:val="0019799A"/>
    <w:rsid w:val="001D0C53"/>
    <w:rsid w:val="001F236C"/>
    <w:rsid w:val="00206D9F"/>
    <w:rsid w:val="002138BC"/>
    <w:rsid w:val="00234074"/>
    <w:rsid w:val="002508F3"/>
    <w:rsid w:val="00263A10"/>
    <w:rsid w:val="00282175"/>
    <w:rsid w:val="002954D4"/>
    <w:rsid w:val="002A5346"/>
    <w:rsid w:val="002B7E83"/>
    <w:rsid w:val="002C060D"/>
    <w:rsid w:val="00312E0C"/>
    <w:rsid w:val="0035545B"/>
    <w:rsid w:val="00376FF2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D4351"/>
    <w:rsid w:val="006E26E5"/>
    <w:rsid w:val="006F74D0"/>
    <w:rsid w:val="007075F0"/>
    <w:rsid w:val="00726A8F"/>
    <w:rsid w:val="00733AF6"/>
    <w:rsid w:val="00756AA8"/>
    <w:rsid w:val="00780D8A"/>
    <w:rsid w:val="00781FBB"/>
    <w:rsid w:val="007F18A0"/>
    <w:rsid w:val="00812E93"/>
    <w:rsid w:val="0083544A"/>
    <w:rsid w:val="00855C94"/>
    <w:rsid w:val="00880316"/>
    <w:rsid w:val="00887CE7"/>
    <w:rsid w:val="008945B9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A23FA"/>
    <w:rsid w:val="009D0004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24520"/>
    <w:rsid w:val="00B37ED2"/>
    <w:rsid w:val="00B41A9F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87D56"/>
    <w:rsid w:val="00C91CEE"/>
    <w:rsid w:val="00CA500B"/>
    <w:rsid w:val="00CB6F23"/>
    <w:rsid w:val="00CF7975"/>
    <w:rsid w:val="00D07366"/>
    <w:rsid w:val="00D14478"/>
    <w:rsid w:val="00D31D8D"/>
    <w:rsid w:val="00D60AA3"/>
    <w:rsid w:val="00D76468"/>
    <w:rsid w:val="00DA1C3D"/>
    <w:rsid w:val="00DC78E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1F98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71</cp:revision>
  <dcterms:created xsi:type="dcterms:W3CDTF">2018-08-15T19:26:00Z</dcterms:created>
  <dcterms:modified xsi:type="dcterms:W3CDTF">2022-11-02T08:44:00Z</dcterms:modified>
</cp:coreProperties>
</file>